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0983A" w14:textId="6B878669" w:rsidR="002A5517" w:rsidRPr="00B03D0E" w:rsidRDefault="00A337E5" w:rsidP="00832C36">
      <w:pPr>
        <w:shd w:val="clear" w:color="auto" w:fill="FFFFFF" w:themeFill="background1"/>
        <w:ind w:right="72"/>
        <w:jc w:val="both"/>
        <w:rPr>
          <w:rFonts w:ascii="Arial" w:hAnsi="Arial" w:cs="Arial"/>
          <w:sz w:val="20"/>
          <w:szCs w:val="20"/>
          <w:lang w:val="nl-NL"/>
        </w:rPr>
      </w:pPr>
      <w:r w:rsidRPr="00B03D0E">
        <w:rPr>
          <w:rFonts w:ascii="Arial" w:hAnsi="Arial" w:cs="Arial"/>
          <w:sz w:val="20"/>
          <w:szCs w:val="20"/>
          <w:lang w:val="nl-NL"/>
        </w:rPr>
        <w:t xml:space="preserve">Voorbeelden van </w:t>
      </w:r>
      <w:r w:rsidR="005F37A0" w:rsidRPr="00B03D0E">
        <w:rPr>
          <w:rFonts w:ascii="Arial" w:hAnsi="Arial" w:cs="Arial"/>
          <w:sz w:val="20"/>
          <w:szCs w:val="20"/>
          <w:lang w:val="nl-NL"/>
        </w:rPr>
        <w:t xml:space="preserve">recente </w:t>
      </w:r>
      <w:r w:rsidR="00832C36" w:rsidRPr="00B03D0E">
        <w:rPr>
          <w:rFonts w:ascii="Arial" w:hAnsi="Arial" w:cs="Arial"/>
          <w:sz w:val="20"/>
          <w:szCs w:val="20"/>
          <w:lang w:val="nl-NL"/>
        </w:rPr>
        <w:t>project</w:t>
      </w:r>
      <w:r w:rsidRPr="00B03D0E">
        <w:rPr>
          <w:rFonts w:ascii="Arial" w:hAnsi="Arial" w:cs="Arial"/>
          <w:sz w:val="20"/>
          <w:szCs w:val="20"/>
          <w:lang w:val="nl-NL"/>
        </w:rPr>
        <w:t xml:space="preserve"> </w:t>
      </w:r>
      <w:r w:rsidR="00DF7AA5">
        <w:rPr>
          <w:rFonts w:ascii="Arial" w:hAnsi="Arial" w:cs="Arial"/>
          <w:sz w:val="20"/>
          <w:szCs w:val="20"/>
          <w:lang w:val="nl-NL"/>
        </w:rPr>
        <w:t xml:space="preserve">ontwerp </w:t>
      </w:r>
      <w:r w:rsidRPr="00B03D0E">
        <w:rPr>
          <w:rFonts w:ascii="Arial" w:hAnsi="Arial" w:cs="Arial"/>
          <w:sz w:val="20"/>
          <w:szCs w:val="20"/>
          <w:lang w:val="nl-NL"/>
        </w:rPr>
        <w:t xml:space="preserve">en </w:t>
      </w:r>
      <w:r w:rsidR="00DF7AA5">
        <w:rPr>
          <w:rFonts w:ascii="Arial" w:hAnsi="Arial" w:cs="Arial"/>
          <w:sz w:val="20"/>
          <w:szCs w:val="20"/>
          <w:lang w:val="nl-NL"/>
        </w:rPr>
        <w:t>fondsenwerving</w:t>
      </w:r>
      <w:r w:rsidR="008A0FA4">
        <w:rPr>
          <w:rStyle w:val="FootnoteReference"/>
          <w:rFonts w:ascii="Arial" w:hAnsi="Arial" w:cs="Arial"/>
          <w:sz w:val="20"/>
          <w:szCs w:val="20"/>
          <w:lang w:val="nl-NL"/>
        </w:rPr>
        <w:footnoteReference w:id="1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BF4AE9" w:rsidRPr="0035294B" w14:paraId="628B15CD" w14:textId="77777777" w:rsidTr="00BF4AE9">
        <w:tc>
          <w:tcPr>
            <w:tcW w:w="8656" w:type="dxa"/>
          </w:tcPr>
          <w:p w14:paraId="24E78FF9" w14:textId="1F4621C1" w:rsidR="00BF4AE9" w:rsidRPr="0035294B" w:rsidRDefault="00BF4AE9" w:rsidP="00BF4AE9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Coral </w:t>
            </w:r>
            <w:proofErr w:type="spellStart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>Triangle</w:t>
            </w:r>
            <w:proofErr w:type="spellEnd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 Centre Indonesië - ontwikkeling van conceptnota en volledig voorstel van 4 miljoen euro voor de mogelijkheid van het Blue Action Fund. </w:t>
            </w:r>
          </w:p>
        </w:tc>
      </w:tr>
      <w:tr w:rsidR="00BF4AE9" w:rsidRPr="0035294B" w14:paraId="2DE24C7B" w14:textId="77777777" w:rsidTr="00BF4AE9">
        <w:tc>
          <w:tcPr>
            <w:tcW w:w="8656" w:type="dxa"/>
          </w:tcPr>
          <w:p w14:paraId="0CD04B38" w14:textId="7DB4E07E" w:rsidR="00BF4AE9" w:rsidRPr="0035294B" w:rsidRDefault="00BF4AE9" w:rsidP="00BF4AE9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AHT GROUP AG Management en Engineering, Duitsland. Technische natuurbehoudscommunicatie- en -financieringsexpert ter ondersteuning van de ontwikkeling en implementatie van een internationale fondsenwervingscampagne als onderdeel van een project ‘MADAGASCAR Fonds </w:t>
            </w:r>
            <w:proofErr w:type="spellStart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>d’Investissement</w:t>
            </w:r>
            <w:proofErr w:type="spellEnd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80252E" w:rsidRPr="0035294B">
              <w:rPr>
                <w:rFonts w:ascii="Arial" w:hAnsi="Arial" w:cs="Arial"/>
                <w:sz w:val="20"/>
                <w:szCs w:val="20"/>
                <w:lang w:val="nl-NL"/>
              </w:rPr>
              <w:t>Madagaskar</w:t>
            </w:r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 National </w:t>
            </w:r>
            <w:proofErr w:type="spellStart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>Parks</w:t>
            </w:r>
            <w:proofErr w:type="spellEnd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 – </w:t>
            </w:r>
            <w:proofErr w:type="spellStart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>Phase</w:t>
            </w:r>
            <w:proofErr w:type="spellEnd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 IV’ met een bijzondere nadruk op het ondersteunen van de implementatie van Marine Conservation </w:t>
            </w:r>
            <w:proofErr w:type="spellStart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>Parks</w:t>
            </w:r>
            <w:proofErr w:type="spellEnd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 in Madagaskar en op het integreren van duurzame ontwikkeling met natuurbehoud voor het Madagaskarfonds voor beschermde gebieden en biodiversiteit (FAPBM).</w:t>
            </w:r>
          </w:p>
        </w:tc>
      </w:tr>
      <w:tr w:rsidR="00BF4AE9" w:rsidRPr="0035294B" w14:paraId="655CACD8" w14:textId="77777777" w:rsidTr="00BF4AE9">
        <w:tc>
          <w:tcPr>
            <w:tcW w:w="8656" w:type="dxa"/>
          </w:tcPr>
          <w:p w14:paraId="5D9CD9CE" w14:textId="0DD4A564" w:rsidR="00BF4AE9" w:rsidRPr="0035294B" w:rsidRDefault="00BF4AE9" w:rsidP="00BF4AE9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GIZ Filipijnen. Hoofdadviseur voor de ontwikkeling van een meerjarig consortiumvoorstel aan het Duitse federale ministerie van Milieu, Natuurbehoud en Nucleaire Veiligheid (BMU) “Oplossingen voor mariene en kustveerkracht in de Koraaldriehoek”. </w:t>
            </w:r>
          </w:p>
        </w:tc>
      </w:tr>
      <w:tr w:rsidR="00BF4AE9" w:rsidRPr="0035294B" w14:paraId="0797953A" w14:textId="77777777" w:rsidTr="00BF4AE9">
        <w:tc>
          <w:tcPr>
            <w:tcW w:w="8656" w:type="dxa"/>
          </w:tcPr>
          <w:p w14:paraId="2F5FC1B9" w14:textId="0DA4FD03" w:rsidR="00BF4AE9" w:rsidRPr="0035294B" w:rsidRDefault="00BF4AE9" w:rsidP="00BF4AE9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NABU en </w:t>
            </w:r>
            <w:proofErr w:type="spellStart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>Burung</w:t>
            </w:r>
            <w:proofErr w:type="spellEnd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 Indonesië – ontwikkeling van conceptnota voor de mogelijkheid van het Blue Action Fund. In de conceptnota werd 3 miljoen euro voorgesteld voor het versterken van</w:t>
            </w:r>
            <w:r w:rsidR="008E79B9">
              <w:rPr>
                <w:rFonts w:ascii="Arial" w:hAnsi="Arial" w:cs="Arial"/>
                <w:sz w:val="20"/>
                <w:szCs w:val="20"/>
                <w:lang w:val="nl-NL"/>
              </w:rPr>
              <w:t xml:space="preserve"> beschermde marine gebieden</w:t>
            </w:r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 door middel van ondernemerschap op het gebied van marien behoud in het hart van de Koraaldriehoek.</w:t>
            </w:r>
          </w:p>
        </w:tc>
      </w:tr>
      <w:tr w:rsidR="00BF4AE9" w:rsidRPr="0035294B" w14:paraId="27628D71" w14:textId="77777777" w:rsidTr="00BF4AE9">
        <w:tc>
          <w:tcPr>
            <w:tcW w:w="8656" w:type="dxa"/>
          </w:tcPr>
          <w:p w14:paraId="5D447C54" w14:textId="4D6EE18C" w:rsidR="00BF4AE9" w:rsidRPr="0035294B" w:rsidRDefault="00BF4AE9" w:rsidP="00BF4AE9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>Walton Family Foundation, VS. Hoofdfacilitator van een driejarig subsidieprogramma voor de Walton Family Foundation, met als doel - onder andere - het verbeteren van beleid en praktijk rond ruimtelijke planning - toepassing van een op ecosystemen gebaseerde aanpak - voor de ontwikkeling van de garnalen</w:t>
            </w:r>
            <w:r w:rsidR="008E79B9">
              <w:rPr>
                <w:rFonts w:ascii="Arial" w:hAnsi="Arial" w:cs="Arial"/>
                <w:sz w:val="20"/>
                <w:szCs w:val="20"/>
                <w:lang w:val="nl-NL"/>
              </w:rPr>
              <w:t xml:space="preserve"> kweek</w:t>
            </w:r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 in Indonesië. </w:t>
            </w:r>
          </w:p>
        </w:tc>
      </w:tr>
      <w:tr w:rsidR="00BF4AE9" w:rsidRPr="0035294B" w14:paraId="3D92AE65" w14:textId="77777777" w:rsidTr="00BF4AE9">
        <w:tc>
          <w:tcPr>
            <w:tcW w:w="8656" w:type="dxa"/>
          </w:tcPr>
          <w:p w14:paraId="0AD8E33F" w14:textId="3FBC4ADB" w:rsidR="00BF4AE9" w:rsidRPr="0035294B" w:rsidRDefault="00BF4AE9" w:rsidP="00BF4AE9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Het Coral </w:t>
            </w:r>
            <w:proofErr w:type="spellStart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>Triangle</w:t>
            </w:r>
            <w:proofErr w:type="spellEnd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 Center, Indonesië. Expert op het gebied van visserijcapaciteitsopbouw. Ontwikkeling van een strategie voor de ontwikkeling van de visserijcapaciteit voor de CTC. Tot de taken behoorden: i) het beoordelen van de visserij- en capaciteit</w:t>
            </w:r>
            <w:r w:rsid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>ontwikkelingscomponenten van CTC, inclusief wetenschappelijke, praktische en juridische aspecten, in samenwerking met het Ministerie van Mariene Zaken en Visserij (MMAF); ii) beoordeling van capaciteitsopbouw met MMAF, CTC en bestaande partners voor leden van de Indonesische Visserijbeheerraad (FMC) op nationaal niveau en de Visserijbeheercommissie op provinciaal niveau; en iii) het prioriteren en ontwikkelen van een schets voor geïntegreerde technische en leiderschapstrainingsmodules voor verdere industrialisering binnen de afdeling Human Resources Training en Uitbreiding van de MMAF.</w:t>
            </w:r>
          </w:p>
        </w:tc>
      </w:tr>
      <w:tr w:rsidR="00BF4AE9" w:rsidRPr="0035294B" w14:paraId="0FE44220" w14:textId="77777777" w:rsidTr="00BF4AE9">
        <w:tc>
          <w:tcPr>
            <w:tcW w:w="8656" w:type="dxa"/>
          </w:tcPr>
          <w:p w14:paraId="3F392F9C" w14:textId="2F502C9E" w:rsidR="00BF4AE9" w:rsidRPr="0035294B" w:rsidRDefault="00BF4AE9" w:rsidP="00BF4AE9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Coral </w:t>
            </w:r>
            <w:proofErr w:type="spellStart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>Triangle</w:t>
            </w:r>
            <w:proofErr w:type="spellEnd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 Centre Indonesië - ontwikkeling van conceptnota en volledig voorstel van 4 miljoen euro voor de mogelijkheid van het Blue Action Fund. </w:t>
            </w:r>
          </w:p>
        </w:tc>
      </w:tr>
      <w:tr w:rsidR="00DF7AA5" w:rsidRPr="0035294B" w14:paraId="608DAC6C" w14:textId="77777777" w:rsidTr="00BF4AE9">
        <w:tc>
          <w:tcPr>
            <w:tcW w:w="8656" w:type="dxa"/>
          </w:tcPr>
          <w:p w14:paraId="0D0A55E3" w14:textId="2D8810A7" w:rsidR="00DF7AA5" w:rsidRPr="0035294B" w:rsidRDefault="00DF7AA5" w:rsidP="00DF7AA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De </w:t>
            </w:r>
            <w:proofErr w:type="spellStart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>Packard</w:t>
            </w:r>
            <w:proofErr w:type="spellEnd"/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 Foundation, VS. Het leveren van een landschapsanalyse ter ondersteuning van het adviseren van een grote Amerikaanse liefdadigheidsstichting voor een subsidiestrategie voor het ontwikkelen van wetenschappelijke capaciteit op het gebied van </w:t>
            </w:r>
            <w:r w:rsidR="008A0FA4" w:rsidRPr="0035294B">
              <w:rPr>
                <w:rFonts w:ascii="Arial" w:hAnsi="Arial" w:cs="Arial"/>
                <w:sz w:val="20"/>
                <w:szCs w:val="20"/>
                <w:lang w:val="nl-NL"/>
              </w:rPr>
              <w:t>oceaan gerelateerde</w:t>
            </w:r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 xml:space="preserve"> bedreigingen van de klimaatverandering in Indonesië.</w:t>
            </w:r>
          </w:p>
        </w:tc>
      </w:tr>
      <w:tr w:rsidR="00DF7AA5" w:rsidRPr="0035294B" w14:paraId="2767EFCC" w14:textId="77777777" w:rsidTr="00BF4AE9">
        <w:tc>
          <w:tcPr>
            <w:tcW w:w="8656" w:type="dxa"/>
          </w:tcPr>
          <w:p w14:paraId="1E330C34" w14:textId="32E6253A" w:rsidR="00DF7AA5" w:rsidRPr="0035294B" w:rsidRDefault="00DF7AA5" w:rsidP="00DF7AA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>Walton Family Foundation, VS. Faciliteren van de ontwikkeling van een consortiumprogramma met impactmonitoringraamwerk voor verbetering van het Indonesische tonijnbeheer (10 consortiumleden, 2-jarig programma, USD 4 miljoen).</w:t>
            </w:r>
          </w:p>
        </w:tc>
      </w:tr>
      <w:tr w:rsidR="00DF7AA5" w:rsidRPr="0035294B" w14:paraId="07C55E4C" w14:textId="77777777" w:rsidTr="00BF4AE9">
        <w:tc>
          <w:tcPr>
            <w:tcW w:w="8656" w:type="dxa"/>
          </w:tcPr>
          <w:p w14:paraId="151CAA7E" w14:textId="20887F8D" w:rsidR="00DF7AA5" w:rsidRPr="0035294B" w:rsidRDefault="00DF7AA5" w:rsidP="00DF7AA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>Particuliere klant. Identificeren van mogelijkheden voor concessies en overeenkomsten voor biodiversiteit en toerisme in Indonesië voor particuliere liefdadigheidsdonoren.</w:t>
            </w:r>
          </w:p>
        </w:tc>
      </w:tr>
      <w:tr w:rsidR="00DF7AA5" w:rsidRPr="0035294B" w14:paraId="48F762E9" w14:textId="77777777" w:rsidTr="00BF4AE9">
        <w:tc>
          <w:tcPr>
            <w:tcW w:w="8656" w:type="dxa"/>
          </w:tcPr>
          <w:p w14:paraId="77CB2FD8" w14:textId="0F11B19B" w:rsidR="00DF7AA5" w:rsidRPr="0035294B" w:rsidRDefault="00DF7AA5" w:rsidP="00DF7AA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5294B">
              <w:rPr>
                <w:rFonts w:ascii="Arial" w:hAnsi="Arial" w:cs="Arial"/>
                <w:sz w:val="20"/>
                <w:szCs w:val="20"/>
                <w:lang w:val="nl-NL"/>
              </w:rPr>
              <w:t>Walton Family Foundation, VS. Het geven van advies aan een grote Amerikaanse liefdadigheidsstichting voor een subsidiestrategie (6 miljoen dollar voor 3 jaar en 16 miljoen dollar voor 4 jaar) voor investeringen in duurzame aquacultuur en visserij in Indonesië, inclusief de ontwikkeling en implementatie van een monitoringkader.</w:t>
            </w:r>
          </w:p>
        </w:tc>
      </w:tr>
    </w:tbl>
    <w:p w14:paraId="01E43A97" w14:textId="70BD3001" w:rsidR="001A6539" w:rsidRPr="0063396E" w:rsidRDefault="001A6539" w:rsidP="0063396E">
      <w:pPr>
        <w:shd w:val="clear" w:color="auto" w:fill="FFFFFF" w:themeFill="background1"/>
        <w:ind w:right="72"/>
        <w:jc w:val="both"/>
        <w:rPr>
          <w:rFonts w:ascii="Arial" w:hAnsi="Arial" w:cs="Arial"/>
          <w:sz w:val="20"/>
          <w:szCs w:val="20"/>
        </w:rPr>
      </w:pPr>
    </w:p>
    <w:sectPr w:rsidR="001A6539" w:rsidRPr="00633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D34FB" w14:textId="77777777" w:rsidR="009238EF" w:rsidRDefault="009238EF" w:rsidP="008A0FA4">
      <w:pPr>
        <w:spacing w:after="0" w:line="240" w:lineRule="auto"/>
      </w:pPr>
      <w:r>
        <w:separator/>
      </w:r>
    </w:p>
  </w:endnote>
  <w:endnote w:type="continuationSeparator" w:id="0">
    <w:p w14:paraId="18A97D57" w14:textId="77777777" w:rsidR="009238EF" w:rsidRDefault="009238EF" w:rsidP="008A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F3215" w14:textId="77777777" w:rsidR="009238EF" w:rsidRDefault="009238EF" w:rsidP="008A0FA4">
      <w:pPr>
        <w:spacing w:after="0" w:line="240" w:lineRule="auto"/>
      </w:pPr>
      <w:r>
        <w:separator/>
      </w:r>
    </w:p>
  </w:footnote>
  <w:footnote w:type="continuationSeparator" w:id="0">
    <w:p w14:paraId="59D9609B" w14:textId="77777777" w:rsidR="009238EF" w:rsidRDefault="009238EF" w:rsidP="008A0FA4">
      <w:pPr>
        <w:spacing w:after="0" w:line="240" w:lineRule="auto"/>
      </w:pPr>
      <w:r>
        <w:continuationSeparator/>
      </w:r>
    </w:p>
  </w:footnote>
  <w:footnote w:id="1">
    <w:p w14:paraId="493C4B7A" w14:textId="531E978E" w:rsidR="008A0FA4" w:rsidRPr="0064789C" w:rsidRDefault="008A0FA4">
      <w:pPr>
        <w:pStyle w:val="FootnoteText"/>
        <w:rPr>
          <w:rFonts w:ascii="Arial" w:hAnsi="Arial" w:cs="Arial"/>
          <w:lang w:val="en-US"/>
        </w:rPr>
      </w:pPr>
      <w:r w:rsidRPr="0064789C">
        <w:rPr>
          <w:rStyle w:val="FootnoteReference"/>
          <w:rFonts w:ascii="Arial" w:hAnsi="Arial" w:cs="Arial"/>
        </w:rPr>
        <w:footnoteRef/>
      </w:r>
      <w:r w:rsidRPr="0064789C">
        <w:rPr>
          <w:rFonts w:ascii="Arial" w:hAnsi="Arial" w:cs="Arial"/>
        </w:rPr>
        <w:t xml:space="preserve"> </w:t>
      </w:r>
      <w:proofErr w:type="spellStart"/>
      <w:r w:rsidRPr="0064789C">
        <w:rPr>
          <w:rFonts w:ascii="Arial" w:hAnsi="Arial" w:cs="Arial"/>
          <w:lang w:val="en-US"/>
        </w:rPr>
        <w:t>Vertaald</w:t>
      </w:r>
      <w:proofErr w:type="spellEnd"/>
      <w:r w:rsidRPr="0064789C">
        <w:rPr>
          <w:rFonts w:ascii="Arial" w:hAnsi="Arial" w:cs="Arial"/>
          <w:lang w:val="en-US"/>
        </w:rPr>
        <w:t xml:space="preserve"> </w:t>
      </w:r>
      <w:r w:rsidR="00F9356E">
        <w:rPr>
          <w:rFonts w:ascii="Arial" w:hAnsi="Arial" w:cs="Arial"/>
          <w:lang w:val="en-US"/>
        </w:rPr>
        <w:t>uit het Engels met</w:t>
      </w:r>
      <w:r w:rsidRPr="0064789C">
        <w:rPr>
          <w:rFonts w:ascii="Arial" w:hAnsi="Arial" w:cs="Arial"/>
          <w:lang w:val="en-US"/>
        </w:rPr>
        <w:t xml:space="preserve"> google translate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93DC3"/>
    <w:multiLevelType w:val="hybridMultilevel"/>
    <w:tmpl w:val="F0C2F82E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312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18"/>
    <w:rsid w:val="00006075"/>
    <w:rsid w:val="00010375"/>
    <w:rsid w:val="0001249A"/>
    <w:rsid w:val="00012CDB"/>
    <w:rsid w:val="00022709"/>
    <w:rsid w:val="000B6510"/>
    <w:rsid w:val="00126973"/>
    <w:rsid w:val="00136C7B"/>
    <w:rsid w:val="00146E07"/>
    <w:rsid w:val="001506DB"/>
    <w:rsid w:val="00154004"/>
    <w:rsid w:val="001604D6"/>
    <w:rsid w:val="001736E4"/>
    <w:rsid w:val="001948D4"/>
    <w:rsid w:val="001A6539"/>
    <w:rsid w:val="001A7A03"/>
    <w:rsid w:val="001A7EE3"/>
    <w:rsid w:val="001B1CAB"/>
    <w:rsid w:val="001B3470"/>
    <w:rsid w:val="001E427C"/>
    <w:rsid w:val="001F7007"/>
    <w:rsid w:val="00251E25"/>
    <w:rsid w:val="00251FFC"/>
    <w:rsid w:val="002A5517"/>
    <w:rsid w:val="002B57B7"/>
    <w:rsid w:val="002E181D"/>
    <w:rsid w:val="002F432D"/>
    <w:rsid w:val="003000B3"/>
    <w:rsid w:val="0035294B"/>
    <w:rsid w:val="003A07F9"/>
    <w:rsid w:val="003B10B5"/>
    <w:rsid w:val="003C17F5"/>
    <w:rsid w:val="003C2BF7"/>
    <w:rsid w:val="003C47D5"/>
    <w:rsid w:val="003D360C"/>
    <w:rsid w:val="003D60B3"/>
    <w:rsid w:val="003E09C7"/>
    <w:rsid w:val="004446A9"/>
    <w:rsid w:val="0046650A"/>
    <w:rsid w:val="00496268"/>
    <w:rsid w:val="004C37FA"/>
    <w:rsid w:val="004C6539"/>
    <w:rsid w:val="004D6A7F"/>
    <w:rsid w:val="004E0D24"/>
    <w:rsid w:val="004E1F20"/>
    <w:rsid w:val="004E51D0"/>
    <w:rsid w:val="0051284E"/>
    <w:rsid w:val="00512EDA"/>
    <w:rsid w:val="005427A4"/>
    <w:rsid w:val="00543CF2"/>
    <w:rsid w:val="0055495B"/>
    <w:rsid w:val="00560BA6"/>
    <w:rsid w:val="00561F97"/>
    <w:rsid w:val="00572FE9"/>
    <w:rsid w:val="00574C79"/>
    <w:rsid w:val="0058249B"/>
    <w:rsid w:val="00590B8A"/>
    <w:rsid w:val="005A26D8"/>
    <w:rsid w:val="005A5D44"/>
    <w:rsid w:val="005B4E54"/>
    <w:rsid w:val="005F37A0"/>
    <w:rsid w:val="00605482"/>
    <w:rsid w:val="006111AC"/>
    <w:rsid w:val="00617F12"/>
    <w:rsid w:val="0063396E"/>
    <w:rsid w:val="0064789C"/>
    <w:rsid w:val="00653D2D"/>
    <w:rsid w:val="00657486"/>
    <w:rsid w:val="006C6D83"/>
    <w:rsid w:val="006D27C4"/>
    <w:rsid w:val="00716EB9"/>
    <w:rsid w:val="007176F7"/>
    <w:rsid w:val="00745B78"/>
    <w:rsid w:val="00763432"/>
    <w:rsid w:val="007837AA"/>
    <w:rsid w:val="007A5EF3"/>
    <w:rsid w:val="007A6DAC"/>
    <w:rsid w:val="007B02A7"/>
    <w:rsid w:val="007B1D0B"/>
    <w:rsid w:val="007B2DCB"/>
    <w:rsid w:val="007C65DD"/>
    <w:rsid w:val="007E009B"/>
    <w:rsid w:val="007E024B"/>
    <w:rsid w:val="007F7390"/>
    <w:rsid w:val="008008BA"/>
    <w:rsid w:val="0080252E"/>
    <w:rsid w:val="008033E1"/>
    <w:rsid w:val="008053C6"/>
    <w:rsid w:val="00812058"/>
    <w:rsid w:val="00832C36"/>
    <w:rsid w:val="0084513B"/>
    <w:rsid w:val="00845ECE"/>
    <w:rsid w:val="008512F4"/>
    <w:rsid w:val="00852B9F"/>
    <w:rsid w:val="0085432D"/>
    <w:rsid w:val="00855E7B"/>
    <w:rsid w:val="008576B8"/>
    <w:rsid w:val="00887432"/>
    <w:rsid w:val="00895CBD"/>
    <w:rsid w:val="008A00D6"/>
    <w:rsid w:val="008A0D18"/>
    <w:rsid w:val="008A0FA4"/>
    <w:rsid w:val="008A5CEC"/>
    <w:rsid w:val="008B7EE4"/>
    <w:rsid w:val="008D6A76"/>
    <w:rsid w:val="008E7093"/>
    <w:rsid w:val="008E79B9"/>
    <w:rsid w:val="00912F53"/>
    <w:rsid w:val="0091363A"/>
    <w:rsid w:val="00922F14"/>
    <w:rsid w:val="009238EF"/>
    <w:rsid w:val="00925296"/>
    <w:rsid w:val="00930D76"/>
    <w:rsid w:val="009369E0"/>
    <w:rsid w:val="00993D66"/>
    <w:rsid w:val="009A40D6"/>
    <w:rsid w:val="009A508C"/>
    <w:rsid w:val="009E75CF"/>
    <w:rsid w:val="00A11052"/>
    <w:rsid w:val="00A11774"/>
    <w:rsid w:val="00A337E5"/>
    <w:rsid w:val="00A416B3"/>
    <w:rsid w:val="00AB0A48"/>
    <w:rsid w:val="00B03D0E"/>
    <w:rsid w:val="00B12873"/>
    <w:rsid w:val="00B37E36"/>
    <w:rsid w:val="00B42FD9"/>
    <w:rsid w:val="00B72127"/>
    <w:rsid w:val="00B7698E"/>
    <w:rsid w:val="00B86ED9"/>
    <w:rsid w:val="00BA53CE"/>
    <w:rsid w:val="00BE501F"/>
    <w:rsid w:val="00BF4AE9"/>
    <w:rsid w:val="00C02746"/>
    <w:rsid w:val="00C433D1"/>
    <w:rsid w:val="00C509D9"/>
    <w:rsid w:val="00C53DEE"/>
    <w:rsid w:val="00C71866"/>
    <w:rsid w:val="00C866E7"/>
    <w:rsid w:val="00CC2E92"/>
    <w:rsid w:val="00CC6303"/>
    <w:rsid w:val="00CD18CC"/>
    <w:rsid w:val="00CD2742"/>
    <w:rsid w:val="00CE374B"/>
    <w:rsid w:val="00CF3C34"/>
    <w:rsid w:val="00CF5B3F"/>
    <w:rsid w:val="00CF744D"/>
    <w:rsid w:val="00D0187C"/>
    <w:rsid w:val="00D26675"/>
    <w:rsid w:val="00D35850"/>
    <w:rsid w:val="00D45480"/>
    <w:rsid w:val="00D740EB"/>
    <w:rsid w:val="00D92B8B"/>
    <w:rsid w:val="00D93054"/>
    <w:rsid w:val="00DB6C37"/>
    <w:rsid w:val="00DD6EB3"/>
    <w:rsid w:val="00DE67BF"/>
    <w:rsid w:val="00DF7AA5"/>
    <w:rsid w:val="00E02946"/>
    <w:rsid w:val="00E03008"/>
    <w:rsid w:val="00E16D64"/>
    <w:rsid w:val="00E32E59"/>
    <w:rsid w:val="00E4780A"/>
    <w:rsid w:val="00E6268D"/>
    <w:rsid w:val="00E7656B"/>
    <w:rsid w:val="00E80E48"/>
    <w:rsid w:val="00F30A9A"/>
    <w:rsid w:val="00F352DA"/>
    <w:rsid w:val="00F35E45"/>
    <w:rsid w:val="00F45F49"/>
    <w:rsid w:val="00F67AE7"/>
    <w:rsid w:val="00F9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955D03"/>
  <w15:chartTrackingRefBased/>
  <w15:docId w15:val="{BC540DE2-F77D-4F70-AA82-B8EC1CDC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18"/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link w:val="BodyText1Char"/>
    <w:qFormat/>
    <w:rsid w:val="008A0D18"/>
    <w:pPr>
      <w:spacing w:after="180" w:line="300" w:lineRule="exact"/>
      <w:jc w:val="both"/>
    </w:pPr>
    <w:rPr>
      <w:rFonts w:ascii="Arial" w:eastAsia="Times New Roman" w:hAnsi="Arial" w:cs="Arial"/>
      <w:kern w:val="22"/>
      <w:sz w:val="20"/>
      <w:lang w:val="en-US"/>
    </w:rPr>
  </w:style>
  <w:style w:type="character" w:customStyle="1" w:styleId="BodyText1Char">
    <w:name w:val="Body Text1 Char"/>
    <w:link w:val="BodyText1"/>
    <w:locked/>
    <w:rsid w:val="008A0D18"/>
    <w:rPr>
      <w:rFonts w:ascii="Arial" w:eastAsia="Times New Roman" w:hAnsi="Arial" w:cs="Arial"/>
      <w:kern w:val="22"/>
      <w:sz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A0D1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A0D18"/>
    <w:rPr>
      <w:lang w:val="en-US"/>
    </w:rPr>
  </w:style>
  <w:style w:type="paragraph" w:customStyle="1" w:styleId="Default">
    <w:name w:val="Default"/>
    <w:rsid w:val="00845E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45ECE"/>
    <w:rPr>
      <w:color w:val="0000FF"/>
      <w:u w:val="single"/>
    </w:rPr>
  </w:style>
  <w:style w:type="paragraph" w:customStyle="1" w:styleId="ReLine">
    <w:name w:val="Re Line"/>
    <w:next w:val="Normal"/>
    <w:rsid w:val="00845ECE"/>
    <w:pPr>
      <w:pBdr>
        <w:bottom w:val="single" w:sz="4" w:space="1" w:color="236471"/>
      </w:pBdr>
      <w:tabs>
        <w:tab w:val="left" w:pos="540"/>
        <w:tab w:val="left" w:pos="2490"/>
      </w:tabs>
      <w:spacing w:after="300" w:line="300" w:lineRule="exact"/>
      <w:ind w:left="533" w:hanging="533"/>
    </w:pPr>
    <w:rPr>
      <w:rFonts w:ascii="Arial" w:eastAsia="Times New Roman" w:hAnsi="Arial" w:cs="Times New Roman"/>
      <w:b/>
      <w:bCs/>
      <w:kern w:val="22"/>
      <w:sz w:val="20"/>
      <w:szCs w:val="20"/>
      <w:lang w:val="en-US"/>
    </w:rPr>
  </w:style>
  <w:style w:type="paragraph" w:customStyle="1" w:styleId="Address">
    <w:name w:val="Address"/>
    <w:qFormat/>
    <w:rsid w:val="00845ECE"/>
    <w:pPr>
      <w:spacing w:after="0" w:line="300" w:lineRule="exact"/>
    </w:pPr>
    <w:rPr>
      <w:rFonts w:ascii="Arial" w:eastAsia="Times New Roman" w:hAnsi="Arial" w:cs="Arial"/>
      <w:kern w:val="22"/>
      <w:sz w:val="20"/>
      <w:lang w:val="en-US"/>
    </w:rPr>
  </w:style>
  <w:style w:type="table" w:styleId="TableGrid">
    <w:name w:val="Table Grid"/>
    <w:basedOn w:val="TableNormal"/>
    <w:uiPriority w:val="39"/>
    <w:rsid w:val="0063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A0F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0FA4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8A0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5A17-D8C9-4071-8CD1-BE01C6BD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Pet-Soede</dc:creator>
  <cp:keywords/>
  <dc:description/>
  <cp:lastModifiedBy>Lida Pet-Soede</cp:lastModifiedBy>
  <cp:revision>11</cp:revision>
  <cp:lastPrinted>2022-07-26T10:40:00Z</cp:lastPrinted>
  <dcterms:created xsi:type="dcterms:W3CDTF">2024-06-08T13:56:00Z</dcterms:created>
  <dcterms:modified xsi:type="dcterms:W3CDTF">2024-06-08T14:03:00Z</dcterms:modified>
</cp:coreProperties>
</file>